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24" w:lineRule="auto"/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信息科学与工程学部</w:t>
      </w:r>
    </w:p>
    <w:p>
      <w:pPr>
        <w:spacing w:line="324" w:lineRule="auto"/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物理与光电工程学院和海洋技术学院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辅导员助理工作细则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为加强信息科学与工程学部兼职辅导员、辅导员助理队伍建设，明确岗位职责，在本科生的引导教育中发挥年龄相近、专业相通的优势，促进兼职辅导员、辅导员助理在工作中与所带班级同受教育、共同提高，特制定本细则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一、选拔标准</w:t>
      </w: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1.中共党员</w:t>
      </w:r>
      <w:r>
        <w:rPr>
          <w:rFonts w:hint="eastAsia" w:ascii="仿宋_GB2312" w:hAnsi="仿宋_GB2312" w:eastAsia="仿宋_GB2312" w:cs="仿宋_GB2312"/>
          <w:sz w:val="28"/>
          <w:szCs w:val="28"/>
        </w:rPr>
        <w:t>；</w:t>
      </w: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28"/>
          <w:szCs w:val="28"/>
        </w:rPr>
        <w:t>具有较强的纪律意识和责任担当；</w:t>
      </w: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3.三、</w:t>
      </w:r>
      <w:r>
        <w:rPr>
          <w:rFonts w:hint="eastAsia" w:ascii="仿宋_GB2312" w:hAnsi="仿宋_GB2312" w:eastAsia="仿宋_GB2312" w:cs="仿宋_GB2312"/>
          <w:sz w:val="28"/>
          <w:szCs w:val="28"/>
        </w:rPr>
        <w:t>四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年级</w:t>
      </w:r>
      <w:r>
        <w:rPr>
          <w:rFonts w:hint="eastAsia" w:ascii="仿宋_GB2312" w:hAnsi="仿宋_GB2312" w:eastAsia="仿宋_GB2312" w:cs="仿宋_GB2312"/>
          <w:sz w:val="28"/>
          <w:szCs w:val="28"/>
        </w:rPr>
        <w:t>本科生，专业排名在前40%，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毕业年级可</w:t>
      </w:r>
      <w:r>
        <w:rPr>
          <w:rFonts w:hint="eastAsia" w:ascii="仿宋_GB2312" w:hAnsi="仿宋_GB2312" w:eastAsia="仿宋_GB2312" w:cs="仿宋_GB2312"/>
          <w:sz w:val="28"/>
          <w:szCs w:val="28"/>
        </w:rPr>
        <w:t>获得推免资格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或已签约工作</w:t>
      </w:r>
      <w:r>
        <w:rPr>
          <w:rFonts w:hint="eastAsia" w:ascii="仿宋_GB2312" w:hAnsi="仿宋_GB2312" w:eastAsia="仿宋_GB2312" w:cs="仿宋_GB2312"/>
          <w:sz w:val="28"/>
          <w:szCs w:val="28"/>
        </w:rPr>
        <w:t>；</w:t>
      </w: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sz w:val="28"/>
          <w:szCs w:val="28"/>
        </w:rPr>
        <w:t>具有较好的语言表达及交流沟通能力；</w:t>
      </w: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5.</w:t>
      </w:r>
      <w:r>
        <w:rPr>
          <w:rFonts w:hint="eastAsia" w:ascii="仿宋_GB2312" w:hAnsi="仿宋_GB2312" w:eastAsia="仿宋_GB2312" w:cs="仿宋_GB2312"/>
          <w:sz w:val="28"/>
          <w:szCs w:val="28"/>
        </w:rPr>
        <w:t>原则上申请人所在专业应与所带班级专业相同或相近，了解相关专业内容及学部政策；</w:t>
      </w: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6.</w:t>
      </w:r>
      <w:r>
        <w:rPr>
          <w:rFonts w:hint="eastAsia" w:ascii="仿宋_GB2312" w:hAnsi="仿宋_GB2312" w:eastAsia="仿宋_GB2312" w:cs="仿宋_GB2312"/>
          <w:sz w:val="28"/>
          <w:szCs w:val="28"/>
        </w:rPr>
        <w:t>有较为充足的时间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28"/>
          <w:szCs w:val="28"/>
        </w:rPr>
        <w:t>能够较好地完成本细则中规定的辅导员助理工作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；</w:t>
      </w: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7.若遇特殊情况或在某方面有突出表现，可适当放宽上述要求。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二、</w:t>
      </w:r>
      <w:r>
        <w:rPr>
          <w:rFonts w:hint="eastAsia" w:ascii="仿宋_GB2312" w:hAnsi="仿宋_GB2312" w:eastAsia="仿宋_GB2312" w:cs="仿宋_GB2312"/>
          <w:sz w:val="28"/>
          <w:szCs w:val="28"/>
        </w:rPr>
        <w:t>工作要求</w:t>
      </w: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1.日常工作：协助专兼职辅导员完成日常学生管理工作的信息汇总和整理；</w:t>
      </w: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2.班级发展：</w:t>
      </w:r>
      <w:r>
        <w:rPr>
          <w:rFonts w:hint="eastAsia" w:ascii="仿宋_GB2312" w:hAnsi="仿宋_GB2312" w:eastAsia="仿宋_GB2312" w:cs="仿宋_GB2312"/>
          <w:sz w:val="28"/>
          <w:szCs w:val="28"/>
        </w:rPr>
        <w:t>参与辅导员与新生班委的例会，协助辅导员与兼职辅导员，与所带班级的班委共同做好班级未来发展规划，根据班级内同学性格特点做好班风建设工作；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参与班级所有活动的指导策划，</w:t>
      </w:r>
      <w:r>
        <w:rPr>
          <w:rFonts w:hint="eastAsia" w:ascii="仿宋_GB2312" w:hAnsi="仿宋_GB2312" w:eastAsia="仿宋_GB2312" w:cs="仿宋_GB2312"/>
          <w:sz w:val="28"/>
          <w:szCs w:val="28"/>
        </w:rPr>
        <w:t>每学期至少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线下参加4次班级活动；</w:t>
      </w: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3.谈心谈话：</w:t>
      </w:r>
      <w:r>
        <w:rPr>
          <w:rFonts w:hint="eastAsia" w:ascii="仿宋_GB2312" w:hAnsi="仿宋_GB2312" w:eastAsia="仿宋_GB2312" w:cs="仿宋_GB2312"/>
          <w:sz w:val="28"/>
          <w:szCs w:val="28"/>
        </w:rPr>
        <w:t>尽快认识并熟悉所带班级同学，每学期至少与所带班级内每位同学进行一次单独谈话并做好记录，了解各位同学的学习及生活状态，对其遇到的难题给予一定的指导和帮助；</w:t>
      </w: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4.舍风建设：分别于夏季学期、期中考试前、期末考试前各完成一次对所带班级同学的宿舍走访工作，</w:t>
      </w:r>
      <w:r>
        <w:rPr>
          <w:rFonts w:hint="eastAsia" w:ascii="仿宋_GB2312" w:hAnsi="仿宋_GB2312" w:eastAsia="仿宋_GB2312" w:cs="仿宋_GB2312"/>
          <w:sz w:val="28"/>
          <w:szCs w:val="28"/>
        </w:rPr>
        <w:t>重点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了解宿舍文化、</w:t>
      </w:r>
      <w:r>
        <w:rPr>
          <w:rFonts w:hint="eastAsia" w:ascii="仿宋_GB2312" w:hAnsi="仿宋_GB2312" w:eastAsia="仿宋_GB2312" w:cs="仿宋_GB2312"/>
          <w:sz w:val="28"/>
          <w:szCs w:val="28"/>
        </w:rPr>
        <w:t>宿舍卫生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网络成瘾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寝室关系等</w:t>
      </w:r>
      <w:r>
        <w:rPr>
          <w:rFonts w:hint="eastAsia" w:ascii="仿宋_GB2312" w:hAnsi="仿宋_GB2312" w:eastAsia="仿宋_GB2312" w:cs="仿宋_GB2312"/>
          <w:sz w:val="28"/>
          <w:szCs w:val="28"/>
        </w:rPr>
        <w:t>情况，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发现异常</w:t>
      </w:r>
      <w:r>
        <w:rPr>
          <w:rFonts w:hint="eastAsia" w:ascii="仿宋_GB2312" w:hAnsi="仿宋_GB2312" w:eastAsia="仿宋_GB2312" w:cs="仿宋_GB2312"/>
          <w:sz w:val="28"/>
          <w:szCs w:val="28"/>
        </w:rPr>
        <w:t>及时报告辅导员；每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月</w:t>
      </w:r>
      <w:r>
        <w:rPr>
          <w:rFonts w:hint="eastAsia" w:ascii="仿宋_GB2312" w:hAnsi="仿宋_GB2312" w:eastAsia="仿宋_GB2312" w:cs="仿宋_GB2312"/>
          <w:sz w:val="28"/>
          <w:szCs w:val="28"/>
        </w:rPr>
        <w:t>汇报一次所带班级的查寝、谈话等情况；</w:t>
      </w: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5.学风建设：期中考试结束后，与所有期中考试不及格同学谈话，了解学业情况并给予针对性指导和帮助，与学习委员一起制定班级帮扶工作方案并督促执行</w:t>
      </w:r>
      <w:r>
        <w:rPr>
          <w:rFonts w:hint="eastAsia" w:ascii="仿宋_GB2312" w:hAnsi="仿宋_GB2312" w:eastAsia="仿宋_GB2312" w:cs="仿宋_GB2312"/>
          <w:sz w:val="28"/>
          <w:szCs w:val="28"/>
        </w:rPr>
        <w:t>；日常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与学习委员一起组织集体自习</w:t>
      </w:r>
      <w:r>
        <w:rPr>
          <w:rFonts w:hint="eastAsia" w:ascii="仿宋_GB2312" w:hAnsi="仿宋_GB2312" w:eastAsia="仿宋_GB2312" w:cs="仿宋_GB2312"/>
          <w:sz w:val="28"/>
          <w:szCs w:val="28"/>
        </w:rPr>
        <w:t>，并做好出勤记录；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期末前与学习委员一起组织学业困难学生的一对一帮扶；</w:t>
      </w:r>
      <w:r>
        <w:rPr>
          <w:rFonts w:hint="eastAsia" w:ascii="仿宋_GB2312" w:hAnsi="仿宋_GB2312" w:eastAsia="仿宋_GB2312" w:cs="仿宋_GB2312"/>
          <w:sz w:val="28"/>
          <w:szCs w:val="28"/>
        </w:rPr>
        <w:t>春季学期初，协助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辅导员</w:t>
      </w:r>
      <w:r>
        <w:rPr>
          <w:rFonts w:hint="eastAsia" w:ascii="仿宋_GB2312" w:hAnsi="仿宋_GB2312" w:eastAsia="仿宋_GB2312" w:cs="仿宋_GB2312"/>
          <w:sz w:val="28"/>
          <w:szCs w:val="28"/>
        </w:rPr>
        <w:t>老师做好与所带班级学业警示学生的谈话工作，撰写所带班级上一学期学业情况报告，向家长寄送学业困难学生成绩单，并在本学期中积极关注上述同学的学习及生活情况，作好记录；</w:t>
      </w: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6.特殊学生关注：通过日常交流，发现并了解</w:t>
      </w:r>
      <w:r>
        <w:rPr>
          <w:rFonts w:hint="eastAsia" w:ascii="仿宋_GB2312" w:hAnsi="仿宋_GB2312" w:eastAsia="仿宋_GB2312" w:cs="仿宋_GB2312"/>
          <w:sz w:val="28"/>
          <w:szCs w:val="28"/>
        </w:rPr>
        <w:t>多次上课缺勤、心理状态异常、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网络成瘾、家庭经济困难</w:t>
      </w:r>
      <w:r>
        <w:rPr>
          <w:rFonts w:hint="eastAsia" w:ascii="仿宋_GB2312" w:hAnsi="仿宋_GB2312" w:eastAsia="仿宋_GB2312" w:cs="仿宋_GB2312"/>
          <w:sz w:val="28"/>
          <w:szCs w:val="28"/>
        </w:rPr>
        <w:t>等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需要特别关注的学生</w:t>
      </w:r>
      <w:r>
        <w:rPr>
          <w:rFonts w:hint="eastAsia" w:ascii="仿宋_GB2312" w:hAnsi="仿宋_GB2312" w:eastAsia="仿宋_GB2312" w:cs="仿宋_GB2312"/>
          <w:sz w:val="28"/>
          <w:szCs w:val="28"/>
        </w:rPr>
        <w:t>，及时与其谈话了解情况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28"/>
          <w:szCs w:val="28"/>
        </w:rPr>
        <w:t>建立个人信息档案，定期追踪其学习、生活、心理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变化</w:t>
      </w:r>
      <w:r>
        <w:rPr>
          <w:rFonts w:hint="eastAsia" w:ascii="仿宋_GB2312" w:hAnsi="仿宋_GB2312" w:eastAsia="仿宋_GB2312" w:cs="仿宋_GB2312"/>
          <w:sz w:val="28"/>
          <w:szCs w:val="28"/>
        </w:rPr>
        <w:t>，并及时向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带班辅导员</w:t>
      </w:r>
      <w:r>
        <w:rPr>
          <w:rFonts w:hint="eastAsia" w:ascii="仿宋_GB2312" w:hAnsi="仿宋_GB2312" w:eastAsia="仿宋_GB2312" w:cs="仿宋_GB2312"/>
          <w:sz w:val="28"/>
          <w:szCs w:val="28"/>
        </w:rPr>
        <w:t>老师和班主任反馈；</w:t>
      </w: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7.</w:t>
      </w:r>
      <w:r>
        <w:rPr>
          <w:rFonts w:hint="eastAsia" w:ascii="仿宋_GB2312" w:hAnsi="仿宋_GB2312" w:eastAsia="仿宋_GB2312" w:cs="仿宋_GB2312"/>
          <w:sz w:val="28"/>
          <w:szCs w:val="28"/>
        </w:rPr>
        <w:t>学期末撰写总结报告，分享个人在班级管理中的经验教训及存在的困惑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三、考核方式</w:t>
      </w: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28"/>
          <w:szCs w:val="28"/>
        </w:rPr>
        <w:t>考核方式采用个人自评、辅导员评价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28"/>
          <w:szCs w:val="28"/>
        </w:rPr>
        <w:t>所带班级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班委评价与所带班级普通</w:t>
      </w:r>
      <w:r>
        <w:rPr>
          <w:rFonts w:hint="eastAsia" w:ascii="仿宋_GB2312" w:hAnsi="仿宋_GB2312" w:eastAsia="仿宋_GB2312" w:cs="仿宋_GB2312"/>
          <w:sz w:val="28"/>
          <w:szCs w:val="28"/>
        </w:rPr>
        <w:t>同学评价相结合的方式，上述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四</w:t>
      </w:r>
      <w:r>
        <w:rPr>
          <w:rFonts w:hint="eastAsia" w:ascii="仿宋_GB2312" w:hAnsi="仿宋_GB2312" w:eastAsia="仿宋_GB2312" w:cs="仿宋_GB2312"/>
          <w:sz w:val="28"/>
          <w:szCs w:val="28"/>
        </w:rPr>
        <w:t>项在总评中的比例分别为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28"/>
          <w:szCs w:val="28"/>
        </w:rPr>
        <w:t>0%、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50</w:t>
      </w:r>
      <w:r>
        <w:rPr>
          <w:rFonts w:hint="eastAsia" w:ascii="仿宋_GB2312" w:hAnsi="仿宋_GB2312" w:eastAsia="仿宋_GB2312" w:cs="仿宋_GB2312"/>
          <w:sz w:val="28"/>
          <w:szCs w:val="28"/>
        </w:rPr>
        <w:t>%、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20</w:t>
      </w:r>
      <w:r>
        <w:rPr>
          <w:rFonts w:hint="eastAsia" w:ascii="仿宋_GB2312" w:hAnsi="仿宋_GB2312" w:eastAsia="仿宋_GB2312" w:cs="仿宋_GB2312"/>
          <w:sz w:val="28"/>
          <w:szCs w:val="28"/>
        </w:rPr>
        <w:t>%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20%</w:t>
      </w:r>
      <w:r>
        <w:rPr>
          <w:rFonts w:hint="eastAsia" w:ascii="仿宋_GB2312" w:hAnsi="仿宋_GB2312" w:eastAsia="仿宋_GB2312" w:cs="仿宋_GB2312"/>
          <w:sz w:val="28"/>
          <w:szCs w:val="28"/>
        </w:rPr>
        <w:t>；</w:t>
      </w: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2.辅导员评价</w:t>
      </w:r>
      <w:r>
        <w:rPr>
          <w:rFonts w:hint="eastAsia" w:ascii="仿宋_GB2312" w:hAnsi="仿宋_GB2312" w:eastAsia="仿宋_GB2312" w:cs="仿宋_GB2312"/>
          <w:sz w:val="28"/>
          <w:szCs w:val="28"/>
        </w:rPr>
        <w:t>部分采用任务指标完成情况与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日常工作</w:t>
      </w:r>
      <w:r>
        <w:rPr>
          <w:rFonts w:hint="eastAsia" w:ascii="仿宋_GB2312" w:hAnsi="仿宋_GB2312" w:eastAsia="仿宋_GB2312" w:cs="仿宋_GB2312"/>
          <w:sz w:val="28"/>
          <w:szCs w:val="28"/>
        </w:rPr>
        <w:t>评价相结合的方式，其中个人指标完成情况汇总表详见附件；</w:t>
      </w: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sz w:val="28"/>
          <w:szCs w:val="28"/>
        </w:rPr>
        <w:t>上述评价采用百分制，按本章第1条所定比例加和得到最终分数，其中60分以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下</w:t>
      </w:r>
      <w:r>
        <w:rPr>
          <w:rFonts w:hint="eastAsia" w:ascii="仿宋_GB2312" w:hAnsi="仿宋_GB2312" w:eastAsia="仿宋_GB2312" w:cs="仿宋_GB2312"/>
          <w:sz w:val="28"/>
          <w:szCs w:val="28"/>
        </w:rPr>
        <w:t>为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不</w:t>
      </w:r>
      <w:r>
        <w:rPr>
          <w:rFonts w:hint="eastAsia" w:ascii="仿宋_GB2312" w:hAnsi="仿宋_GB2312" w:eastAsia="仿宋_GB2312" w:cs="仿宋_GB2312"/>
          <w:sz w:val="28"/>
          <w:szCs w:val="28"/>
        </w:rPr>
        <w:t>合格，90分以上为优秀；</w:t>
      </w: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sz w:val="28"/>
          <w:szCs w:val="28"/>
        </w:rPr>
        <w:t>每学期进行一次上述考核工作，并在第二学期期末将两次考核结果各按50%的比例加和获得最终评定分数，后续奖惩制度基于此最终评定分数，特殊情况下可基于第一学期评定分数。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四、奖惩制度</w:t>
      </w: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28"/>
          <w:szCs w:val="28"/>
        </w:rPr>
        <w:t>按学校及学部相关要求为辅导员助理发放工作补贴；</w:t>
      </w: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28"/>
          <w:szCs w:val="28"/>
        </w:rPr>
        <w:t>为考评合格者发放信息科学与工程学部辅导员助理工作合格证书，为考评优秀者发放优秀证书，考评不合格者不予发放证书；</w:t>
      </w: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sz w:val="28"/>
          <w:szCs w:val="28"/>
        </w:rPr>
        <w:t>考核为合格及以上的辅导员助理工作，可用于评奖评优及学生工作证明。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sz w:val="28"/>
          <w:szCs w:val="28"/>
        </w:rPr>
        <w:t>如无异议，以上细则，自公布之日起开始实施，同意请签字确认。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u w:val="single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辅导员助理：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                                                   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u w:val="single"/>
        </w:rPr>
      </w:pP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                                                               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                                                               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 w:firstLine="560" w:firstLineChars="200"/>
        <w:jc w:val="righ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                               信息科学与工程学部团委</w:t>
      </w:r>
    </w:p>
    <w:p>
      <w:pPr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br w:type="page"/>
      </w:r>
    </w:p>
    <w:p>
      <w:pPr>
        <w:spacing w:line="324" w:lineRule="auto"/>
        <w:rPr>
          <w:rFonts w:ascii="Times New Roman" w:hAnsi="Times New Roman" w:cs="Times New Roman"/>
          <w:sz w:val="24"/>
          <w:szCs w:val="24"/>
        </w:rPr>
      </w:pPr>
      <w:r>
        <w:rPr>
          <w:rFonts w:hint="eastAsia" w:ascii="Times New Roman" w:hAnsi="Times New Roman" w:cs="Times New Roman"/>
          <w:sz w:val="24"/>
          <w:szCs w:val="24"/>
        </w:rPr>
        <w:t>附件：</w:t>
      </w:r>
    </w:p>
    <w:tbl>
      <w:tblPr>
        <w:tblStyle w:val="5"/>
        <w:tblW w:w="0" w:type="auto"/>
        <w:tblInd w:w="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52"/>
        <w:gridCol w:w="713"/>
        <w:gridCol w:w="1423"/>
        <w:gridCol w:w="1342"/>
        <w:gridCol w:w="398"/>
        <w:gridCol w:w="37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9638" w:type="dxa"/>
            <w:gridSpan w:val="6"/>
            <w:tcBorders>
              <w:top w:val="nil"/>
              <w:left w:val="nil"/>
              <w:right w:val="nil"/>
            </w:tcBorders>
            <w:vAlign w:val="center"/>
          </w:tcPr>
          <w:p>
            <w:pPr>
              <w:spacing w:line="324" w:lineRule="auto"/>
              <w:jc w:val="center"/>
              <w:rPr>
                <w:rFonts w:ascii="黑体" w:hAnsi="黑体" w:eastAsia="黑体" w:cs="Times New Roman"/>
                <w:sz w:val="32"/>
                <w:szCs w:val="32"/>
              </w:rPr>
            </w:pPr>
            <w:r>
              <w:rPr>
                <w:rFonts w:hint="eastAsia" w:ascii="黑体" w:hAnsi="黑体" w:eastAsia="黑体" w:cs="Times New Roman"/>
                <w:sz w:val="32"/>
                <w:szCs w:val="32"/>
              </w:rPr>
              <w:t>辅导员助理任务指标完成情况个人汇总表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52" w:type="dxa"/>
            <w:vAlign w:val="center"/>
          </w:tcPr>
          <w:p>
            <w:pPr>
              <w:spacing w:line="32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 xml:space="preserve">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>
              <w:rPr>
                <w:rFonts w:hint="eastAsia" w:ascii="Times New Roman" w:hAnsi="Times New Roman" w:cs="Times New Roman"/>
                <w:sz w:val="24"/>
                <w:szCs w:val="24"/>
              </w:rPr>
              <w:t>名</w:t>
            </w:r>
          </w:p>
        </w:tc>
        <w:tc>
          <w:tcPr>
            <w:tcW w:w="2136" w:type="dxa"/>
            <w:gridSpan w:val="2"/>
            <w:vAlign w:val="center"/>
          </w:tcPr>
          <w:p>
            <w:pPr>
              <w:spacing w:line="32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0" w:type="dxa"/>
            <w:gridSpan w:val="2"/>
            <w:vAlign w:val="center"/>
          </w:tcPr>
          <w:p>
            <w:pPr>
              <w:spacing w:line="32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 xml:space="preserve">学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>
              <w:rPr>
                <w:rFonts w:hint="eastAsia" w:ascii="Times New Roman" w:hAnsi="Times New Roman" w:cs="Times New Roman"/>
                <w:sz w:val="24"/>
                <w:szCs w:val="24"/>
              </w:rPr>
              <w:t>号</w:t>
            </w:r>
          </w:p>
        </w:tc>
        <w:tc>
          <w:tcPr>
            <w:tcW w:w="3710" w:type="dxa"/>
            <w:vAlign w:val="center"/>
          </w:tcPr>
          <w:p>
            <w:pPr>
              <w:spacing w:line="32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52" w:type="dxa"/>
            <w:vAlign w:val="center"/>
          </w:tcPr>
          <w:p>
            <w:pPr>
              <w:spacing w:line="32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所协助辅导员</w:t>
            </w:r>
          </w:p>
        </w:tc>
        <w:tc>
          <w:tcPr>
            <w:tcW w:w="2136" w:type="dxa"/>
            <w:gridSpan w:val="2"/>
            <w:vAlign w:val="center"/>
          </w:tcPr>
          <w:p>
            <w:pPr>
              <w:spacing w:line="32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0" w:type="dxa"/>
            <w:gridSpan w:val="2"/>
            <w:vAlign w:val="center"/>
          </w:tcPr>
          <w:p>
            <w:pPr>
              <w:spacing w:line="32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所带班级</w:t>
            </w:r>
          </w:p>
        </w:tc>
        <w:tc>
          <w:tcPr>
            <w:tcW w:w="3710" w:type="dxa"/>
            <w:vAlign w:val="center"/>
          </w:tcPr>
          <w:p>
            <w:pPr>
              <w:spacing w:line="32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765" w:type="dxa"/>
            <w:gridSpan w:val="2"/>
            <w:vAlign w:val="center"/>
          </w:tcPr>
          <w:p>
            <w:pPr>
              <w:spacing w:line="32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项目</w:t>
            </w:r>
          </w:p>
        </w:tc>
        <w:tc>
          <w:tcPr>
            <w:tcW w:w="2765" w:type="dxa"/>
            <w:gridSpan w:val="2"/>
            <w:vAlign w:val="center"/>
          </w:tcPr>
          <w:p>
            <w:pPr>
              <w:spacing w:line="32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次数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hint="eastAsia" w:ascii="Times New Roman" w:hAnsi="Times New Roman" w:cs="Times New Roman"/>
                <w:sz w:val="24"/>
                <w:szCs w:val="24"/>
              </w:rPr>
              <w:t>人数</w:t>
            </w:r>
          </w:p>
        </w:tc>
        <w:tc>
          <w:tcPr>
            <w:tcW w:w="4108" w:type="dxa"/>
            <w:gridSpan w:val="2"/>
            <w:vAlign w:val="center"/>
          </w:tcPr>
          <w:p>
            <w:pPr>
              <w:spacing w:line="324" w:lineRule="auto"/>
              <w:jc w:val="center"/>
              <w:rPr>
                <w:rFonts w:hint="eastAsia" w:ascii="Times New Roman" w:hAnsi="Times New Roman" w:cs="Times New Roman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合格条件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2765" w:type="dxa"/>
            <w:gridSpan w:val="2"/>
            <w:vAlign w:val="center"/>
          </w:tcPr>
          <w:p>
            <w:pPr>
              <w:spacing w:line="32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与班级内同学谈话</w:t>
            </w:r>
          </w:p>
        </w:tc>
        <w:tc>
          <w:tcPr>
            <w:tcW w:w="2765" w:type="dxa"/>
            <w:gridSpan w:val="2"/>
            <w:vAlign w:val="center"/>
          </w:tcPr>
          <w:p>
            <w:pPr>
              <w:spacing w:line="32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8" w:type="dxa"/>
            <w:gridSpan w:val="2"/>
            <w:vAlign w:val="center"/>
          </w:tcPr>
          <w:p>
            <w:pPr>
              <w:spacing w:line="324" w:lineRule="auto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至少一学期每人单独谈话1次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2765" w:type="dxa"/>
            <w:gridSpan w:val="2"/>
            <w:vAlign w:val="center"/>
          </w:tcPr>
          <w:p>
            <w:pPr>
              <w:spacing w:line="324" w:lineRule="auto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参与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班级活动</w:t>
            </w:r>
          </w:p>
        </w:tc>
        <w:tc>
          <w:tcPr>
            <w:tcW w:w="2765" w:type="dxa"/>
            <w:gridSpan w:val="2"/>
            <w:vAlign w:val="center"/>
          </w:tcPr>
          <w:p>
            <w:pPr>
              <w:spacing w:line="32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8" w:type="dxa"/>
            <w:gridSpan w:val="2"/>
            <w:vAlign w:val="center"/>
          </w:tcPr>
          <w:p>
            <w:pPr>
              <w:spacing w:line="324" w:lineRule="auto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应全勤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2765" w:type="dxa"/>
            <w:gridSpan w:val="2"/>
            <w:vAlign w:val="center"/>
          </w:tcPr>
          <w:p>
            <w:pPr>
              <w:spacing w:line="32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组织策划</w:t>
            </w:r>
            <w:r>
              <w:rPr>
                <w:rFonts w:hint="eastAsia" w:ascii="Times New Roman" w:hAnsi="Times New Roman" w:cs="Times New Roman"/>
                <w:sz w:val="24"/>
                <w:szCs w:val="24"/>
              </w:rPr>
              <w:t>班级活动</w:t>
            </w:r>
          </w:p>
        </w:tc>
        <w:tc>
          <w:tcPr>
            <w:tcW w:w="2765" w:type="dxa"/>
            <w:gridSpan w:val="2"/>
            <w:vAlign w:val="center"/>
          </w:tcPr>
          <w:p>
            <w:pPr>
              <w:spacing w:line="32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8" w:type="dxa"/>
            <w:gridSpan w:val="2"/>
            <w:vAlign w:val="center"/>
          </w:tcPr>
          <w:p>
            <w:pPr>
              <w:spacing w:line="324" w:lineRule="auto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参与所有班级活动的组织策划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2765" w:type="dxa"/>
            <w:gridSpan w:val="2"/>
            <w:vAlign w:val="center"/>
          </w:tcPr>
          <w:p>
            <w:pPr>
              <w:spacing w:line="32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查寝</w:t>
            </w:r>
          </w:p>
        </w:tc>
        <w:tc>
          <w:tcPr>
            <w:tcW w:w="2765" w:type="dxa"/>
            <w:gridSpan w:val="2"/>
            <w:vAlign w:val="center"/>
          </w:tcPr>
          <w:p>
            <w:pPr>
              <w:spacing w:line="32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8" w:type="dxa"/>
            <w:gridSpan w:val="2"/>
            <w:vAlign w:val="center"/>
          </w:tcPr>
          <w:p>
            <w:pPr>
              <w:spacing w:line="324" w:lineRule="auto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一学期至少3次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2765" w:type="dxa"/>
            <w:gridSpan w:val="2"/>
            <w:vAlign w:val="center"/>
          </w:tcPr>
          <w:p>
            <w:pPr>
              <w:spacing w:line="32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课上出勤率检查</w:t>
            </w:r>
          </w:p>
        </w:tc>
        <w:tc>
          <w:tcPr>
            <w:tcW w:w="2765" w:type="dxa"/>
            <w:gridSpan w:val="2"/>
            <w:vAlign w:val="center"/>
          </w:tcPr>
          <w:p>
            <w:pPr>
              <w:spacing w:line="32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8" w:type="dxa"/>
            <w:gridSpan w:val="2"/>
            <w:vAlign w:val="center"/>
          </w:tcPr>
          <w:p>
            <w:pPr>
              <w:spacing w:line="324" w:lineRule="auto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每2周整理一次缺勤情况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2765" w:type="dxa"/>
            <w:gridSpan w:val="2"/>
            <w:vAlign w:val="center"/>
          </w:tcPr>
          <w:p>
            <w:pPr>
              <w:spacing w:line="32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参与辅导员与班委例会</w:t>
            </w:r>
          </w:p>
        </w:tc>
        <w:tc>
          <w:tcPr>
            <w:tcW w:w="2765" w:type="dxa"/>
            <w:gridSpan w:val="2"/>
            <w:vAlign w:val="center"/>
          </w:tcPr>
          <w:p>
            <w:pPr>
              <w:spacing w:line="32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8" w:type="dxa"/>
            <w:gridSpan w:val="2"/>
            <w:vAlign w:val="center"/>
          </w:tcPr>
          <w:p>
            <w:pPr>
              <w:spacing w:line="324" w:lineRule="auto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应全勤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2765" w:type="dxa"/>
            <w:gridSpan w:val="2"/>
            <w:vAlign w:val="center"/>
          </w:tcPr>
          <w:p>
            <w:pPr>
              <w:spacing w:line="32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组织集体自习</w:t>
            </w:r>
          </w:p>
        </w:tc>
        <w:tc>
          <w:tcPr>
            <w:tcW w:w="2765" w:type="dxa"/>
            <w:gridSpan w:val="2"/>
            <w:vAlign w:val="center"/>
          </w:tcPr>
          <w:p>
            <w:pPr>
              <w:spacing w:line="32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8" w:type="dxa"/>
            <w:gridSpan w:val="2"/>
            <w:vAlign w:val="center"/>
          </w:tcPr>
          <w:p>
            <w:pPr>
              <w:spacing w:line="324" w:lineRule="auto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一周至少3次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2765" w:type="dxa"/>
            <w:gridSpan w:val="2"/>
            <w:vAlign w:val="center"/>
          </w:tcPr>
          <w:p>
            <w:pPr>
              <w:spacing w:line="32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与特殊情况同学谈话</w:t>
            </w:r>
          </w:p>
        </w:tc>
        <w:tc>
          <w:tcPr>
            <w:tcW w:w="2765" w:type="dxa"/>
            <w:gridSpan w:val="2"/>
            <w:vAlign w:val="center"/>
          </w:tcPr>
          <w:p>
            <w:pPr>
              <w:spacing w:line="32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8" w:type="dxa"/>
            <w:gridSpan w:val="2"/>
            <w:vAlign w:val="center"/>
          </w:tcPr>
          <w:p>
            <w:pPr>
              <w:spacing w:line="324" w:lineRule="auto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一学期至少2次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7" w:hRule="atLeast"/>
        </w:trPr>
        <w:tc>
          <w:tcPr>
            <w:tcW w:w="2765" w:type="dxa"/>
            <w:gridSpan w:val="2"/>
            <w:vAlign w:val="center"/>
          </w:tcPr>
          <w:p>
            <w:pPr>
              <w:spacing w:line="32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其他项</w:t>
            </w:r>
          </w:p>
        </w:tc>
        <w:tc>
          <w:tcPr>
            <w:tcW w:w="6873" w:type="dxa"/>
            <w:gridSpan w:val="4"/>
            <w:vAlign w:val="center"/>
          </w:tcPr>
          <w:p>
            <w:pPr>
              <w:spacing w:line="32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（加分/扣分原因）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2765" w:type="dxa"/>
            <w:gridSpan w:val="2"/>
            <w:vAlign w:val="center"/>
          </w:tcPr>
          <w:p>
            <w:pPr>
              <w:spacing w:line="324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8"/>
                <w:szCs w:val="28"/>
              </w:rPr>
              <w:t>总分</w:t>
            </w:r>
          </w:p>
        </w:tc>
        <w:tc>
          <w:tcPr>
            <w:tcW w:w="6873" w:type="dxa"/>
            <w:gridSpan w:val="4"/>
            <w:vAlign w:val="center"/>
          </w:tcPr>
          <w:p>
            <w:pPr>
              <w:spacing w:line="32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（分数）</w:t>
            </w:r>
          </w:p>
        </w:tc>
      </w:tr>
    </w:tbl>
    <w:p>
      <w:pPr>
        <w:spacing w:line="324" w:lineRule="auto"/>
        <w:rPr>
          <w:rFonts w:ascii="Times New Roman" w:hAnsi="Times New Roman" w:cs="Times New Roman"/>
          <w:sz w:val="22"/>
        </w:rPr>
      </w:pPr>
      <w:r>
        <w:rPr>
          <w:rFonts w:hint="eastAsia" w:ascii="Times New Roman" w:hAnsi="Times New Roman" w:cs="Times New Roman"/>
          <w:sz w:val="22"/>
        </w:rPr>
        <w:t>注：本表基准分为</w:t>
      </w:r>
      <w:r>
        <w:rPr>
          <w:rFonts w:ascii="Times New Roman" w:hAnsi="Times New Roman" w:cs="Times New Roman"/>
          <w:sz w:val="22"/>
        </w:rPr>
        <w:t>100</w:t>
      </w:r>
      <w:r>
        <w:rPr>
          <w:rFonts w:hint="eastAsia" w:ascii="Times New Roman" w:hAnsi="Times New Roman" w:cs="Times New Roman"/>
          <w:sz w:val="22"/>
        </w:rPr>
        <w:t>，额外加分项累计不超过1</w:t>
      </w:r>
      <w:r>
        <w:rPr>
          <w:rFonts w:ascii="Times New Roman" w:hAnsi="Times New Roman" w:cs="Times New Roman"/>
          <w:sz w:val="22"/>
        </w:rPr>
        <w:t>5</w:t>
      </w:r>
      <w:r>
        <w:rPr>
          <w:rFonts w:hint="eastAsia" w:ascii="Times New Roman" w:hAnsi="Times New Roman" w:cs="Times New Roman"/>
          <w:sz w:val="22"/>
        </w:rPr>
        <w:t>分。若完成本细则第二章中各项最低要求可获得全部基准分，未完成部分或额外完成部分可与辅导员协商后进行相应扣分或加分。</w:t>
      </w:r>
    </w:p>
    <w:p/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7FFAEFF" w:usb1="F9DFFFFF" w:usb2="0000007F" w:usb3="00000000" w:csb0="203F01FF" w:csb1="D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mY3Y2FhYjBjZTE5NDM0YzA5NjljMjg0YmI1YjllNTkifQ=="/>
  </w:docVars>
  <w:rsids>
    <w:rsidRoot w:val="00C8385A"/>
    <w:rsid w:val="0000766A"/>
    <w:rsid w:val="0002069E"/>
    <w:rsid w:val="00032DC3"/>
    <w:rsid w:val="0003738F"/>
    <w:rsid w:val="00081FC6"/>
    <w:rsid w:val="00083532"/>
    <w:rsid w:val="00086A95"/>
    <w:rsid w:val="000A16DE"/>
    <w:rsid w:val="000A572F"/>
    <w:rsid w:val="000E6DCC"/>
    <w:rsid w:val="00102435"/>
    <w:rsid w:val="00121E6F"/>
    <w:rsid w:val="001305D3"/>
    <w:rsid w:val="00135BEC"/>
    <w:rsid w:val="001401FF"/>
    <w:rsid w:val="001465E2"/>
    <w:rsid w:val="00150BF5"/>
    <w:rsid w:val="00163A19"/>
    <w:rsid w:val="00177910"/>
    <w:rsid w:val="00184CE3"/>
    <w:rsid w:val="0019662D"/>
    <w:rsid w:val="001C7138"/>
    <w:rsid w:val="001C7A05"/>
    <w:rsid w:val="001D4D5E"/>
    <w:rsid w:val="001F3878"/>
    <w:rsid w:val="001F74F1"/>
    <w:rsid w:val="002035D9"/>
    <w:rsid w:val="00210C71"/>
    <w:rsid w:val="0021129F"/>
    <w:rsid w:val="00222027"/>
    <w:rsid w:val="00222B28"/>
    <w:rsid w:val="00235656"/>
    <w:rsid w:val="002673DC"/>
    <w:rsid w:val="00274B94"/>
    <w:rsid w:val="00276EF2"/>
    <w:rsid w:val="00283D14"/>
    <w:rsid w:val="002B4C11"/>
    <w:rsid w:val="002B7BBB"/>
    <w:rsid w:val="002D586F"/>
    <w:rsid w:val="002E78B1"/>
    <w:rsid w:val="002F2D12"/>
    <w:rsid w:val="002F40BD"/>
    <w:rsid w:val="00326BD5"/>
    <w:rsid w:val="00375B31"/>
    <w:rsid w:val="0039385C"/>
    <w:rsid w:val="003A3088"/>
    <w:rsid w:val="003B29DA"/>
    <w:rsid w:val="003D5931"/>
    <w:rsid w:val="003F791A"/>
    <w:rsid w:val="003F7CA3"/>
    <w:rsid w:val="00401881"/>
    <w:rsid w:val="00426CC9"/>
    <w:rsid w:val="00431867"/>
    <w:rsid w:val="004472B8"/>
    <w:rsid w:val="00447562"/>
    <w:rsid w:val="004554A0"/>
    <w:rsid w:val="00467E75"/>
    <w:rsid w:val="0049573C"/>
    <w:rsid w:val="004966A5"/>
    <w:rsid w:val="00497B66"/>
    <w:rsid w:val="004B6CCE"/>
    <w:rsid w:val="004E0DE1"/>
    <w:rsid w:val="004E60AC"/>
    <w:rsid w:val="00500169"/>
    <w:rsid w:val="005049C0"/>
    <w:rsid w:val="005128AC"/>
    <w:rsid w:val="0055578D"/>
    <w:rsid w:val="00562912"/>
    <w:rsid w:val="00580782"/>
    <w:rsid w:val="0058193C"/>
    <w:rsid w:val="005C0BDC"/>
    <w:rsid w:val="005C1E08"/>
    <w:rsid w:val="005E138B"/>
    <w:rsid w:val="00615099"/>
    <w:rsid w:val="00635D66"/>
    <w:rsid w:val="00643977"/>
    <w:rsid w:val="006447F2"/>
    <w:rsid w:val="00645B31"/>
    <w:rsid w:val="00650C1B"/>
    <w:rsid w:val="006544E0"/>
    <w:rsid w:val="00660460"/>
    <w:rsid w:val="00663EA6"/>
    <w:rsid w:val="00682088"/>
    <w:rsid w:val="006943A2"/>
    <w:rsid w:val="006B24AB"/>
    <w:rsid w:val="006C3D15"/>
    <w:rsid w:val="006C57D7"/>
    <w:rsid w:val="006D0AC4"/>
    <w:rsid w:val="006E03C3"/>
    <w:rsid w:val="006E4AFD"/>
    <w:rsid w:val="006F49A3"/>
    <w:rsid w:val="00704DE7"/>
    <w:rsid w:val="0072247F"/>
    <w:rsid w:val="007278DC"/>
    <w:rsid w:val="00744DD2"/>
    <w:rsid w:val="00760970"/>
    <w:rsid w:val="00783A41"/>
    <w:rsid w:val="00786A96"/>
    <w:rsid w:val="0079099B"/>
    <w:rsid w:val="0079718D"/>
    <w:rsid w:val="007A706B"/>
    <w:rsid w:val="007B5E30"/>
    <w:rsid w:val="007E5411"/>
    <w:rsid w:val="00803E2B"/>
    <w:rsid w:val="008279F9"/>
    <w:rsid w:val="008310A4"/>
    <w:rsid w:val="00852863"/>
    <w:rsid w:val="008552BB"/>
    <w:rsid w:val="00856104"/>
    <w:rsid w:val="0086141B"/>
    <w:rsid w:val="00873A92"/>
    <w:rsid w:val="00884896"/>
    <w:rsid w:val="008B6480"/>
    <w:rsid w:val="008C06C5"/>
    <w:rsid w:val="008C15E7"/>
    <w:rsid w:val="008C5BAB"/>
    <w:rsid w:val="008D116F"/>
    <w:rsid w:val="00904B66"/>
    <w:rsid w:val="009129EF"/>
    <w:rsid w:val="0092116F"/>
    <w:rsid w:val="0092454D"/>
    <w:rsid w:val="00933F2C"/>
    <w:rsid w:val="0095161C"/>
    <w:rsid w:val="00967F1C"/>
    <w:rsid w:val="00975575"/>
    <w:rsid w:val="00994E03"/>
    <w:rsid w:val="009B3B2A"/>
    <w:rsid w:val="009B5AEB"/>
    <w:rsid w:val="009D16BB"/>
    <w:rsid w:val="009D3BB5"/>
    <w:rsid w:val="009E0B3E"/>
    <w:rsid w:val="009E4662"/>
    <w:rsid w:val="009E658A"/>
    <w:rsid w:val="009F7D85"/>
    <w:rsid w:val="00A00700"/>
    <w:rsid w:val="00A0109A"/>
    <w:rsid w:val="00A1327D"/>
    <w:rsid w:val="00A25687"/>
    <w:rsid w:val="00A334A5"/>
    <w:rsid w:val="00A40667"/>
    <w:rsid w:val="00A4389A"/>
    <w:rsid w:val="00A532EC"/>
    <w:rsid w:val="00A54E67"/>
    <w:rsid w:val="00A60BF0"/>
    <w:rsid w:val="00A6156A"/>
    <w:rsid w:val="00A67033"/>
    <w:rsid w:val="00A82253"/>
    <w:rsid w:val="00AA68B8"/>
    <w:rsid w:val="00AB4171"/>
    <w:rsid w:val="00AC0D6D"/>
    <w:rsid w:val="00AD29E1"/>
    <w:rsid w:val="00B2076A"/>
    <w:rsid w:val="00B31621"/>
    <w:rsid w:val="00B578E2"/>
    <w:rsid w:val="00B667EC"/>
    <w:rsid w:val="00B746D3"/>
    <w:rsid w:val="00B76B8D"/>
    <w:rsid w:val="00B9245D"/>
    <w:rsid w:val="00BD3B17"/>
    <w:rsid w:val="00BE205C"/>
    <w:rsid w:val="00BF000A"/>
    <w:rsid w:val="00BF5079"/>
    <w:rsid w:val="00C10E17"/>
    <w:rsid w:val="00C47083"/>
    <w:rsid w:val="00C55BE4"/>
    <w:rsid w:val="00C704FB"/>
    <w:rsid w:val="00C74513"/>
    <w:rsid w:val="00C81500"/>
    <w:rsid w:val="00C82F08"/>
    <w:rsid w:val="00C8385A"/>
    <w:rsid w:val="00C8662A"/>
    <w:rsid w:val="00C87CEF"/>
    <w:rsid w:val="00C97D4D"/>
    <w:rsid w:val="00CA7303"/>
    <w:rsid w:val="00CB0D67"/>
    <w:rsid w:val="00CC0395"/>
    <w:rsid w:val="00CD5D39"/>
    <w:rsid w:val="00CD73FE"/>
    <w:rsid w:val="00CE1F0F"/>
    <w:rsid w:val="00CF1EBE"/>
    <w:rsid w:val="00CF2235"/>
    <w:rsid w:val="00D05FCA"/>
    <w:rsid w:val="00D303E4"/>
    <w:rsid w:val="00D428F1"/>
    <w:rsid w:val="00D625C9"/>
    <w:rsid w:val="00D6500C"/>
    <w:rsid w:val="00D70B42"/>
    <w:rsid w:val="00D72E66"/>
    <w:rsid w:val="00D8027D"/>
    <w:rsid w:val="00DC7DFA"/>
    <w:rsid w:val="00DF2C16"/>
    <w:rsid w:val="00DF4917"/>
    <w:rsid w:val="00E065C1"/>
    <w:rsid w:val="00E113D3"/>
    <w:rsid w:val="00E14493"/>
    <w:rsid w:val="00E233AF"/>
    <w:rsid w:val="00E331FE"/>
    <w:rsid w:val="00E461E4"/>
    <w:rsid w:val="00E6297A"/>
    <w:rsid w:val="00E6618E"/>
    <w:rsid w:val="00EA57FC"/>
    <w:rsid w:val="00F007B1"/>
    <w:rsid w:val="00F019D1"/>
    <w:rsid w:val="00F01FD4"/>
    <w:rsid w:val="00F11B72"/>
    <w:rsid w:val="00F125C7"/>
    <w:rsid w:val="00F12C6F"/>
    <w:rsid w:val="00F143E5"/>
    <w:rsid w:val="00F1718B"/>
    <w:rsid w:val="00F22907"/>
    <w:rsid w:val="00F32805"/>
    <w:rsid w:val="00F33F93"/>
    <w:rsid w:val="00F44A68"/>
    <w:rsid w:val="00F60C45"/>
    <w:rsid w:val="00F63D3B"/>
    <w:rsid w:val="00F768FA"/>
    <w:rsid w:val="00F77912"/>
    <w:rsid w:val="00F86D45"/>
    <w:rsid w:val="00F97698"/>
    <w:rsid w:val="00FC3E1E"/>
    <w:rsid w:val="00FD09A9"/>
    <w:rsid w:val="00FF5778"/>
    <w:rsid w:val="0B593BA6"/>
    <w:rsid w:val="0E722F82"/>
    <w:rsid w:val="30A637AB"/>
    <w:rsid w:val="4B3B59C9"/>
    <w:rsid w:val="50734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1674</Words>
  <Characters>1713</Characters>
  <Lines>14</Lines>
  <Paragraphs>4</Paragraphs>
  <TotalTime>0</TotalTime>
  <ScaleCrop>false</ScaleCrop>
  <LinksUpToDate>false</LinksUpToDate>
  <CharactersWithSpaces>1950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2022-04-20T12:17:00Z</dcterms:created>
  <dc:creator>wd</dc:creator>
  <cp:lastModifiedBy>WPS_1658730198</cp:lastModifiedBy>
  <dcterms:modified xsi:type="dcterms:W3CDTF">2023-08-05T11:13:24Z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73EE46F03AD040E7832C0B9E09A96E5A_13</vt:lpwstr>
  </property>
</Properties>
</file>